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7743"/>
      </w:tblGrid>
      <w:tr w:rsidR="00C075C6" w:rsidTr="00C075C6">
        <w:tc>
          <w:tcPr>
            <w:tcW w:w="1607" w:type="dxa"/>
            <w:tcBorders>
              <w:bottom w:val="single" w:sz="30" w:space="0" w:color="000000"/>
            </w:tcBorders>
          </w:tcPr>
          <w:p w:rsidR="00C075C6" w:rsidRDefault="00C075C6" w:rsidP="00C075C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E7D64C3" wp14:editId="0B8F8807">
                  <wp:extent cx="914400" cy="1003300"/>
                  <wp:effectExtent l="0" t="0" r="0" b="635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3" w:type="dxa"/>
            <w:tcBorders>
              <w:bottom w:val="single" w:sz="30" w:space="0" w:color="000000"/>
            </w:tcBorders>
          </w:tcPr>
          <w:p w:rsidR="00C075C6" w:rsidRDefault="00C075C6" w:rsidP="00C075C6">
            <w:pPr>
              <w:spacing w:after="0"/>
              <w:jc w:val="center"/>
            </w:pPr>
            <w:r>
              <w:rPr>
                <w:sz w:val="32"/>
                <w:szCs w:val="32"/>
              </w:rPr>
              <w:t>PEMERINTAH KOTA SAMARINDA</w:t>
            </w:r>
          </w:p>
          <w:p w:rsidR="00C075C6" w:rsidRDefault="00C075C6" w:rsidP="00C075C6">
            <w:pPr>
              <w:tabs>
                <w:tab w:val="left" w:pos="1005"/>
                <w:tab w:val="center" w:pos="3861"/>
              </w:tabs>
              <w:spacing w:after="0"/>
            </w:pPr>
            <w:r>
              <w:rPr>
                <w:b/>
                <w:sz w:val="30"/>
                <w:szCs w:val="30"/>
              </w:rPr>
              <w:tab/>
            </w:r>
            <w:r>
              <w:rPr>
                <w:b/>
                <w:sz w:val="30"/>
                <w:szCs w:val="30"/>
              </w:rPr>
              <w:tab/>
              <w:t>KECAMATAN SAMARINDA ULU</w:t>
            </w:r>
          </w:p>
          <w:p w:rsidR="00C075C6" w:rsidRDefault="00C075C6" w:rsidP="00C075C6">
            <w:pPr>
              <w:spacing w:after="0"/>
              <w:jc w:val="center"/>
            </w:pPr>
            <w:r>
              <w:rPr>
                <w:b/>
                <w:sz w:val="34"/>
                <w:szCs w:val="34"/>
              </w:rPr>
              <w:t>KELURAHAN TELUK LERONG ILIR</w:t>
            </w:r>
          </w:p>
          <w:p w:rsidR="00C075C6" w:rsidRDefault="00C075C6" w:rsidP="00C075C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Aisyah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Gg</w:t>
            </w:r>
            <w:proofErr w:type="spellEnd"/>
            <w:r>
              <w:rPr>
                <w:sz w:val="20"/>
                <w:szCs w:val="20"/>
              </w:rPr>
              <w:t xml:space="preserve">. Usman </w:t>
            </w:r>
            <w:proofErr w:type="spellStart"/>
            <w:r>
              <w:rPr>
                <w:sz w:val="20"/>
                <w:szCs w:val="20"/>
              </w:rPr>
              <w:t>Syukur</w:t>
            </w:r>
            <w:proofErr w:type="spellEnd"/>
            <w:r>
              <w:rPr>
                <w:sz w:val="20"/>
                <w:szCs w:val="20"/>
              </w:rPr>
              <w:t xml:space="preserve"> No.52 </w:t>
            </w:r>
            <w:proofErr w:type="spellStart"/>
            <w:r>
              <w:rPr>
                <w:sz w:val="20"/>
                <w:szCs w:val="20"/>
              </w:rPr>
              <w:t>Telp</w:t>
            </w:r>
            <w:proofErr w:type="spellEnd"/>
            <w:r>
              <w:rPr>
                <w:sz w:val="20"/>
                <w:szCs w:val="20"/>
              </w:rPr>
              <w:t xml:space="preserve">. (0541) 734856 </w:t>
            </w:r>
            <w:proofErr w:type="spellStart"/>
            <w:r>
              <w:rPr>
                <w:sz w:val="20"/>
                <w:szCs w:val="20"/>
              </w:rPr>
              <w:t>Samarinda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075C6" w:rsidRDefault="00C075C6" w:rsidP="00C075C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: </w:t>
            </w:r>
            <w:hyperlink r:id="rId7" w:history="1">
              <w:r w:rsidRPr="007739DB">
                <w:rPr>
                  <w:rStyle w:val="Hyperlink"/>
                  <w:sz w:val="20"/>
                  <w:szCs w:val="20"/>
                </w:rPr>
                <w:t>http://kel-teluk-lerong-ilir.samarindakota.go.id</w:t>
              </w:r>
            </w:hyperlink>
            <w:r>
              <w:rPr>
                <w:sz w:val="20"/>
                <w:szCs w:val="20"/>
              </w:rPr>
              <w:t xml:space="preserve"> /</w:t>
            </w:r>
          </w:p>
          <w:p w:rsidR="00C075C6" w:rsidRDefault="00C075C6" w:rsidP="00C075C6">
            <w:pPr>
              <w:spacing w:after="0"/>
              <w:jc w:val="center"/>
            </w:pPr>
            <w:r>
              <w:rPr>
                <w:sz w:val="20"/>
                <w:szCs w:val="20"/>
              </w:rPr>
              <w:t xml:space="preserve"> Email : </w:t>
            </w:r>
            <w:hyperlink r:id="rId8" w:history="1">
              <w:r w:rsidRPr="007739DB">
                <w:rPr>
                  <w:rStyle w:val="Hyperlink"/>
                  <w:sz w:val="20"/>
                  <w:szCs w:val="20"/>
                </w:rPr>
                <w:t>kel.teluklerongilir@gmail.com</w:t>
              </w:r>
            </w:hyperlink>
          </w:p>
        </w:tc>
      </w:tr>
    </w:tbl>
    <w:p w:rsidR="004426EC" w:rsidRDefault="004426EC"/>
    <w:p w:rsidR="00293D8A" w:rsidRDefault="00293D8A" w:rsidP="00EE5676">
      <w:pPr>
        <w:spacing w:after="0"/>
        <w:ind w:left="5040" w:firstLine="720"/>
      </w:pPr>
      <w:proofErr w:type="spellStart"/>
      <w:r>
        <w:t>Samarinda</w:t>
      </w:r>
      <w:proofErr w:type="spellEnd"/>
      <w:r>
        <w:t>, 29 September 2022</w:t>
      </w:r>
    </w:p>
    <w:p w:rsidR="00293D8A" w:rsidRDefault="00293D8A" w:rsidP="00E51618">
      <w:pPr>
        <w:spacing w:after="0"/>
      </w:pPr>
      <w:proofErr w:type="spellStart"/>
      <w:r>
        <w:t>Nomor</w:t>
      </w:r>
      <w:proofErr w:type="spellEnd"/>
      <w:r>
        <w:tab/>
      </w:r>
      <w:r>
        <w:tab/>
        <w:t>:</w:t>
      </w:r>
      <w:r w:rsidR="00C075C6">
        <w:t xml:space="preserve"> 555/1245/400.07.001</w:t>
      </w:r>
      <w:r w:rsidR="00EE5676">
        <w:tab/>
      </w:r>
      <w:r w:rsidR="00EE5676">
        <w:tab/>
      </w:r>
      <w:r w:rsidR="00EE5676">
        <w:tab/>
        <w:t xml:space="preserve">       </w:t>
      </w:r>
      <w:proofErr w:type="spellStart"/>
      <w:r>
        <w:t>Kepada</w:t>
      </w:r>
      <w:proofErr w:type="spellEnd"/>
    </w:p>
    <w:p w:rsidR="00293D8A" w:rsidRDefault="00293D8A" w:rsidP="00E51618">
      <w:pPr>
        <w:spacing w:after="0"/>
      </w:pPr>
      <w:proofErr w:type="spellStart"/>
      <w:r>
        <w:t>Sifat</w:t>
      </w:r>
      <w:proofErr w:type="spellEnd"/>
      <w:r>
        <w:tab/>
      </w:r>
      <w:r>
        <w:tab/>
        <w:t>:</w:t>
      </w:r>
      <w:r w:rsidR="00C075C6">
        <w:t xml:space="preserve"> -</w:t>
      </w:r>
    </w:p>
    <w:p w:rsidR="00293D8A" w:rsidRDefault="00293D8A" w:rsidP="00E51618">
      <w:pPr>
        <w:spacing w:after="0"/>
      </w:pPr>
      <w:proofErr w:type="spellStart"/>
      <w:r>
        <w:t>Lampiran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Yth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293D8A" w:rsidRDefault="00293D8A" w:rsidP="00E51618">
      <w:pPr>
        <w:spacing w:after="0"/>
      </w:pPr>
      <w:proofErr w:type="spellStart"/>
      <w:r>
        <w:t>Perihal</w:t>
      </w:r>
      <w:proofErr w:type="spellEnd"/>
      <w:r>
        <w:tab/>
      </w:r>
      <w:r>
        <w:tab/>
        <w:t>:</w:t>
      </w:r>
      <w:r w:rsidR="00C075C6">
        <w:t xml:space="preserve"> </w:t>
      </w:r>
      <w:proofErr w:type="spellStart"/>
      <w:r w:rsidR="00C075C6">
        <w:t>Penyusunan</w:t>
      </w:r>
      <w:proofErr w:type="spellEnd"/>
      <w:r w:rsidR="00C075C6">
        <w:t xml:space="preserve"> </w:t>
      </w:r>
      <w:proofErr w:type="spellStart"/>
      <w:r w:rsidR="00C075C6">
        <w:t>Daftar</w:t>
      </w:r>
      <w:proofErr w:type="spellEnd"/>
      <w:r w:rsidR="00C075C6">
        <w:t xml:space="preserve"> </w:t>
      </w:r>
      <w:proofErr w:type="spellStart"/>
      <w:r w:rsidR="00C075C6">
        <w:t>Informasi</w:t>
      </w:r>
      <w:proofErr w:type="spellEnd"/>
      <w:r w:rsidR="00C075C6">
        <w:tab/>
      </w:r>
      <w:r w:rsidR="00C075C6">
        <w:tab/>
        <w:t xml:space="preserve">       </w:t>
      </w:r>
      <w:proofErr w:type="spellStart"/>
      <w:r>
        <w:t>Informatika</w:t>
      </w:r>
      <w:proofErr w:type="spellEnd"/>
      <w:r>
        <w:t xml:space="preserve"> Kota </w:t>
      </w:r>
      <w:proofErr w:type="spellStart"/>
      <w:r>
        <w:t>Samarinda</w:t>
      </w:r>
      <w:proofErr w:type="spellEnd"/>
    </w:p>
    <w:p w:rsidR="00293D8A" w:rsidRDefault="00293D8A" w:rsidP="00E51618">
      <w:pPr>
        <w:spacing w:after="0"/>
      </w:pPr>
      <w:r>
        <w:tab/>
      </w:r>
      <w:r>
        <w:tab/>
      </w:r>
      <w:r w:rsidR="00C075C6">
        <w:t xml:space="preserve">  Yang Di </w:t>
      </w:r>
      <w:proofErr w:type="spellStart"/>
      <w:r w:rsidR="00C075C6">
        <w:t>Kecualikan</w:t>
      </w:r>
      <w:proofErr w:type="spellEnd"/>
      <w:r w:rsidR="00C075C6">
        <w:t xml:space="preserve"> </w:t>
      </w:r>
      <w:proofErr w:type="spellStart"/>
      <w:r w:rsidR="00C075C6">
        <w:t>Tahun</w:t>
      </w:r>
      <w:proofErr w:type="spellEnd"/>
      <w:r w:rsidR="00C075C6">
        <w:t xml:space="preserve"> 2022</w:t>
      </w:r>
      <w:r w:rsidR="00C075C6">
        <w:tab/>
      </w:r>
      <w:r w:rsidR="00C075C6">
        <w:tab/>
        <w:t xml:space="preserve">       </w:t>
      </w:r>
      <w:r>
        <w:t>Di</w:t>
      </w:r>
      <w:r w:rsidR="00C075C6">
        <w:t xml:space="preserve"> - </w:t>
      </w:r>
    </w:p>
    <w:p w:rsidR="00293D8A" w:rsidRPr="00C075C6" w:rsidRDefault="00293D8A" w:rsidP="00E51618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075C6">
        <w:rPr>
          <w:u w:val="single"/>
        </w:rPr>
        <w:t>Samarinda</w:t>
      </w:r>
      <w:proofErr w:type="spellEnd"/>
    </w:p>
    <w:p w:rsidR="00293D8A" w:rsidRDefault="00293D8A"/>
    <w:p w:rsidR="00293D8A" w:rsidRDefault="00293D8A" w:rsidP="00293D8A">
      <w:pPr>
        <w:spacing w:line="360" w:lineRule="auto"/>
        <w:ind w:firstLine="720"/>
        <w:jc w:val="both"/>
      </w:pPr>
      <w:proofErr w:type="spellStart"/>
      <w:r>
        <w:t>Menindak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Sekretariat</w:t>
      </w:r>
      <w:proofErr w:type="spellEnd"/>
      <w:r>
        <w:t xml:space="preserve"> Daerah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555/2448/100.07 </w:t>
      </w:r>
      <w:proofErr w:type="spellStart"/>
      <w:r>
        <w:t>Tanggal</w:t>
      </w:r>
      <w:proofErr w:type="spellEnd"/>
      <w:r>
        <w:t xml:space="preserve"> 26 </w:t>
      </w:r>
      <w:proofErr w:type="spellStart"/>
      <w:r>
        <w:t>Juli</w:t>
      </w:r>
      <w:proofErr w:type="spellEnd"/>
      <w:r>
        <w:t xml:space="preserve"> 2022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Di </w:t>
      </w:r>
      <w:proofErr w:type="spellStart"/>
      <w:r>
        <w:t>Kecualikan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di </w:t>
      </w:r>
      <w:proofErr w:type="spellStart"/>
      <w:r>
        <w:t>kecualikan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pada</w:t>
      </w:r>
      <w:proofErr w:type="spellEnd"/>
      <w:r>
        <w:t xml:space="preserve"> Kantor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Teluk</w:t>
      </w:r>
      <w:proofErr w:type="spellEnd"/>
      <w:r>
        <w:t xml:space="preserve"> </w:t>
      </w:r>
      <w:proofErr w:type="spellStart"/>
      <w:r>
        <w:t>Lerong</w:t>
      </w:r>
      <w:proofErr w:type="spellEnd"/>
      <w:r>
        <w:t xml:space="preserve"> </w:t>
      </w:r>
      <w:proofErr w:type="spellStart"/>
      <w:r>
        <w:t>Ilir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Ulu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2126"/>
        <w:gridCol w:w="1842"/>
      </w:tblGrid>
      <w:tr w:rsidR="00E51618" w:rsidTr="00E51618">
        <w:tc>
          <w:tcPr>
            <w:tcW w:w="1555" w:type="dxa"/>
          </w:tcPr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  <w:r w:rsidRPr="00C075C6">
              <w:rPr>
                <w:sz w:val="20"/>
                <w:szCs w:val="20"/>
              </w:rPr>
              <w:t xml:space="preserve"> (</w:t>
            </w:r>
            <w:proofErr w:type="spellStart"/>
            <w:r w:rsidRPr="00C075C6">
              <w:rPr>
                <w:sz w:val="20"/>
                <w:szCs w:val="20"/>
              </w:rPr>
              <w:t>berisi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tertentu</w:t>
            </w:r>
            <w:proofErr w:type="spellEnd"/>
            <w:r w:rsidRPr="00C075C6">
              <w:rPr>
                <w:sz w:val="20"/>
                <w:szCs w:val="20"/>
              </w:rPr>
              <w:t xml:space="preserve"> yang </w:t>
            </w:r>
            <w:proofErr w:type="spellStart"/>
            <w:r w:rsidRPr="00C075C6">
              <w:rPr>
                <w:sz w:val="20"/>
                <w:szCs w:val="20"/>
              </w:rPr>
              <w:t>akan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dikecualikan</w:t>
            </w:r>
            <w:proofErr w:type="spellEnd"/>
            <w:r w:rsidRPr="00C075C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Dasar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Hukum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Pengecualian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4252" w:type="dxa"/>
            <w:gridSpan w:val="2"/>
          </w:tcPr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Konsekuensi</w:t>
            </w:r>
            <w:proofErr w:type="spellEnd"/>
            <w:r w:rsidRPr="00C075C6">
              <w:rPr>
                <w:sz w:val="20"/>
                <w:szCs w:val="20"/>
              </w:rPr>
              <w:t xml:space="preserve"> / </w:t>
            </w:r>
            <w:proofErr w:type="spellStart"/>
            <w:r w:rsidRPr="00C075C6">
              <w:rPr>
                <w:sz w:val="20"/>
                <w:szCs w:val="20"/>
              </w:rPr>
              <w:t>Pertimbangan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Bagi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Publik</w:t>
            </w:r>
            <w:proofErr w:type="spellEnd"/>
            <w:r w:rsidRPr="00C075C6">
              <w:rPr>
                <w:sz w:val="20"/>
                <w:szCs w:val="20"/>
              </w:rPr>
              <w:t xml:space="preserve"> (</w:t>
            </w:r>
            <w:proofErr w:type="spellStart"/>
            <w:r w:rsidRPr="00C075C6">
              <w:rPr>
                <w:sz w:val="20"/>
                <w:szCs w:val="20"/>
              </w:rPr>
              <w:t>berisi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uraian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konsekuensi</w:t>
            </w:r>
            <w:proofErr w:type="spellEnd"/>
            <w:r w:rsidRPr="00C075C6">
              <w:rPr>
                <w:sz w:val="20"/>
                <w:szCs w:val="20"/>
              </w:rPr>
              <w:t xml:space="preserve"> / </w:t>
            </w:r>
            <w:proofErr w:type="spellStart"/>
            <w:r w:rsidRPr="00C075C6">
              <w:rPr>
                <w:sz w:val="20"/>
                <w:szCs w:val="20"/>
              </w:rPr>
              <w:t>pertimbangannya</w:t>
            </w:r>
            <w:proofErr w:type="spellEnd"/>
            <w:r w:rsidRPr="00C075C6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Jangka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Waktu</w:t>
            </w:r>
            <w:proofErr w:type="spellEnd"/>
            <w:r w:rsidRPr="00C075C6">
              <w:rPr>
                <w:sz w:val="20"/>
                <w:szCs w:val="20"/>
              </w:rPr>
              <w:t xml:space="preserve"> (</w:t>
            </w:r>
            <w:proofErr w:type="spellStart"/>
            <w:r w:rsidRPr="00C075C6">
              <w:rPr>
                <w:sz w:val="20"/>
                <w:szCs w:val="20"/>
              </w:rPr>
              <w:t>disebutkan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jangka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waktunya</w:t>
            </w:r>
            <w:proofErr w:type="spellEnd"/>
            <w:r w:rsidRPr="00C075C6">
              <w:rPr>
                <w:sz w:val="20"/>
                <w:szCs w:val="20"/>
              </w:rPr>
              <w:t>)</w:t>
            </w:r>
          </w:p>
        </w:tc>
      </w:tr>
      <w:tr w:rsidR="00293D8A" w:rsidTr="00E51618">
        <w:tc>
          <w:tcPr>
            <w:tcW w:w="1555" w:type="dxa"/>
          </w:tcPr>
          <w:p w:rsidR="00293D8A" w:rsidRDefault="00293D8A" w:rsidP="00293D8A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293D8A" w:rsidRDefault="00293D8A" w:rsidP="00293D8A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293D8A" w:rsidRDefault="00E51618" w:rsidP="00293D8A">
            <w:pPr>
              <w:spacing w:line="360" w:lineRule="auto"/>
              <w:jc w:val="both"/>
            </w:pPr>
            <w:proofErr w:type="spellStart"/>
            <w:r>
              <w:t>Dibuka</w:t>
            </w:r>
            <w:proofErr w:type="spellEnd"/>
          </w:p>
        </w:tc>
        <w:tc>
          <w:tcPr>
            <w:tcW w:w="2126" w:type="dxa"/>
          </w:tcPr>
          <w:p w:rsidR="00293D8A" w:rsidRDefault="00E51618" w:rsidP="00293D8A">
            <w:pPr>
              <w:spacing w:line="360" w:lineRule="auto"/>
              <w:jc w:val="both"/>
            </w:pPr>
            <w:proofErr w:type="spellStart"/>
            <w:r>
              <w:t>Ditutup</w:t>
            </w:r>
            <w:proofErr w:type="spellEnd"/>
          </w:p>
        </w:tc>
        <w:tc>
          <w:tcPr>
            <w:tcW w:w="1842" w:type="dxa"/>
          </w:tcPr>
          <w:p w:rsidR="00293D8A" w:rsidRDefault="00293D8A" w:rsidP="00293D8A">
            <w:pPr>
              <w:spacing w:line="360" w:lineRule="auto"/>
              <w:jc w:val="both"/>
            </w:pPr>
          </w:p>
        </w:tc>
      </w:tr>
      <w:tr w:rsidR="00293D8A" w:rsidTr="00E51618">
        <w:trPr>
          <w:trHeight w:val="8714"/>
        </w:trPr>
        <w:tc>
          <w:tcPr>
            <w:tcW w:w="1555" w:type="dxa"/>
          </w:tcPr>
          <w:p w:rsidR="00293D8A" w:rsidRPr="00C075C6" w:rsidRDefault="00293D8A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75C6">
              <w:rPr>
                <w:sz w:val="20"/>
                <w:szCs w:val="20"/>
              </w:rPr>
              <w:t xml:space="preserve">Data </w:t>
            </w:r>
            <w:proofErr w:type="spellStart"/>
            <w:r w:rsidRPr="00C075C6">
              <w:rPr>
                <w:sz w:val="20"/>
                <w:szCs w:val="20"/>
              </w:rPr>
              <w:t>Pribadi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Kependudukan</w:t>
            </w:r>
            <w:proofErr w:type="spellEnd"/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75C6">
              <w:rPr>
                <w:sz w:val="20"/>
                <w:szCs w:val="20"/>
              </w:rPr>
              <w:t xml:space="preserve">Data </w:t>
            </w:r>
            <w:proofErr w:type="spellStart"/>
            <w:r w:rsidRPr="00C075C6">
              <w:rPr>
                <w:sz w:val="20"/>
                <w:szCs w:val="20"/>
              </w:rPr>
              <w:t>Buku</w:t>
            </w:r>
            <w:proofErr w:type="spellEnd"/>
            <w:r w:rsidRPr="00C075C6">
              <w:rPr>
                <w:sz w:val="20"/>
                <w:szCs w:val="20"/>
              </w:rPr>
              <w:t xml:space="preserve"> Register </w:t>
            </w:r>
            <w:proofErr w:type="spellStart"/>
            <w:r w:rsidRPr="00C075C6">
              <w:rPr>
                <w:sz w:val="20"/>
                <w:szCs w:val="20"/>
              </w:rPr>
              <w:t>Ahli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Waris</w:t>
            </w:r>
            <w:proofErr w:type="spellEnd"/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P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Keluar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Bersifat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Rahasia</w:t>
            </w:r>
            <w:proofErr w:type="spellEnd"/>
          </w:p>
        </w:tc>
        <w:tc>
          <w:tcPr>
            <w:tcW w:w="1701" w:type="dxa"/>
          </w:tcPr>
          <w:p w:rsidR="00293D8A" w:rsidRPr="00C075C6" w:rsidRDefault="00293D8A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Pasal</w:t>
            </w:r>
            <w:proofErr w:type="spellEnd"/>
            <w:r w:rsidRPr="00C075C6">
              <w:rPr>
                <w:sz w:val="20"/>
                <w:szCs w:val="20"/>
              </w:rPr>
              <w:t xml:space="preserve"> 17 UU No.14 </w:t>
            </w:r>
            <w:proofErr w:type="spellStart"/>
            <w:r w:rsidRPr="00C075C6">
              <w:rPr>
                <w:sz w:val="20"/>
                <w:szCs w:val="20"/>
              </w:rPr>
              <w:t>Tahun</w:t>
            </w:r>
            <w:proofErr w:type="spellEnd"/>
            <w:r w:rsidRPr="00C075C6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2126" w:type="dxa"/>
          </w:tcPr>
          <w:p w:rsidR="00293D8A" w:rsidRPr="00C075C6" w:rsidRDefault="00293D8A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3D8A" w:rsidRPr="00C075C6" w:rsidRDefault="00293D8A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Publik</w:t>
            </w:r>
            <w:proofErr w:type="spellEnd"/>
            <w:r w:rsidRPr="00C075C6">
              <w:rPr>
                <w:sz w:val="20"/>
                <w:szCs w:val="20"/>
              </w:rPr>
              <w:t xml:space="preserve"> yang </w:t>
            </w:r>
            <w:proofErr w:type="spellStart"/>
            <w:r w:rsidRPr="00C075C6">
              <w:rPr>
                <w:sz w:val="20"/>
                <w:szCs w:val="20"/>
              </w:rPr>
              <w:t>apabila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dibuka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diberikan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kepada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Pemohon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Publik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dapat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mengungkap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rahasia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pribadi</w:t>
            </w:r>
            <w:proofErr w:type="spellEnd"/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Informasi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Publik</w:t>
            </w:r>
            <w:proofErr w:type="spellEnd"/>
            <w:r w:rsidRPr="00C075C6">
              <w:rPr>
                <w:sz w:val="20"/>
                <w:szCs w:val="20"/>
              </w:rPr>
              <w:t xml:space="preserve"> yang </w:t>
            </w:r>
            <w:proofErr w:type="spellStart"/>
            <w:r w:rsidRPr="00C075C6">
              <w:rPr>
                <w:sz w:val="20"/>
                <w:szCs w:val="20"/>
              </w:rPr>
              <w:t>apabila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dibuka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dapat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mengungkapkan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isi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akta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otentik</w:t>
            </w:r>
            <w:proofErr w:type="spellEnd"/>
            <w:r w:rsidRPr="00C075C6">
              <w:rPr>
                <w:sz w:val="20"/>
                <w:szCs w:val="20"/>
              </w:rPr>
              <w:t xml:space="preserve"> yang </w:t>
            </w:r>
            <w:proofErr w:type="spellStart"/>
            <w:r w:rsidRPr="00C075C6">
              <w:rPr>
                <w:sz w:val="20"/>
                <w:szCs w:val="20"/>
              </w:rPr>
              <w:t>bersifat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pribadi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dan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kemauan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terakhir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ataupun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wasiat</w:t>
            </w:r>
            <w:proofErr w:type="spellEnd"/>
            <w:r w:rsidRPr="00C075C6">
              <w:rPr>
                <w:sz w:val="20"/>
                <w:szCs w:val="20"/>
              </w:rPr>
              <w:t xml:space="preserve"> </w:t>
            </w:r>
            <w:proofErr w:type="spellStart"/>
            <w:r w:rsidRPr="00C075C6">
              <w:rPr>
                <w:sz w:val="20"/>
                <w:szCs w:val="20"/>
              </w:rPr>
              <w:t>seseorang</w:t>
            </w:r>
            <w:proofErr w:type="spellEnd"/>
          </w:p>
          <w:p w:rsidR="00E51618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075C6" w:rsidRPr="00C075C6" w:rsidRDefault="00C075C6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Memorandum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surat-surat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Intra </w:t>
            </w:r>
            <w:proofErr w:type="spellStart"/>
            <w:r>
              <w:rPr>
                <w:sz w:val="20"/>
                <w:szCs w:val="20"/>
              </w:rPr>
              <w:t>Badan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Publik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sifatnya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dirahasiakan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kecuali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putusan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Informasi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93D8A" w:rsidRPr="00C075C6" w:rsidRDefault="00293D8A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51618" w:rsidRPr="00C075C6" w:rsidRDefault="00E51618" w:rsidP="00293D8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C075C6">
              <w:rPr>
                <w:sz w:val="20"/>
                <w:szCs w:val="20"/>
              </w:rPr>
              <w:t>Permanen</w:t>
            </w:r>
            <w:proofErr w:type="spellEnd"/>
          </w:p>
        </w:tc>
      </w:tr>
    </w:tbl>
    <w:p w:rsidR="00293D8A" w:rsidRDefault="00C075C6" w:rsidP="00EE5676">
      <w:pPr>
        <w:spacing w:line="360" w:lineRule="auto"/>
        <w:ind w:firstLine="720"/>
        <w:jc w:val="both"/>
      </w:pPr>
      <w:bookmarkStart w:id="0" w:name="_GoBack"/>
      <w:bookmarkEnd w:id="0"/>
      <w:proofErr w:type="spellStart"/>
      <w:r>
        <w:lastRenderedPageBreak/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C075C6" w:rsidRDefault="00C075C6" w:rsidP="00C075C6">
      <w:pPr>
        <w:spacing w:line="360" w:lineRule="auto"/>
        <w:jc w:val="both"/>
      </w:pPr>
    </w:p>
    <w:p w:rsidR="00C075C6" w:rsidRDefault="00C075C6" w:rsidP="00C075C6">
      <w:pPr>
        <w:spacing w:line="360" w:lineRule="auto"/>
        <w:ind w:left="5760" w:firstLine="720"/>
        <w:jc w:val="both"/>
      </w:pPr>
      <w:proofErr w:type="spellStart"/>
      <w:r>
        <w:t>Lurah</w:t>
      </w:r>
      <w:proofErr w:type="spellEnd"/>
    </w:p>
    <w:p w:rsidR="00C075C6" w:rsidRDefault="00C075C6" w:rsidP="00C075C6">
      <w:pPr>
        <w:spacing w:line="360" w:lineRule="auto"/>
        <w:jc w:val="both"/>
      </w:pPr>
    </w:p>
    <w:p w:rsidR="00C075C6" w:rsidRDefault="00C075C6" w:rsidP="00C075C6">
      <w:pPr>
        <w:spacing w:line="360" w:lineRule="auto"/>
        <w:jc w:val="both"/>
      </w:pPr>
    </w:p>
    <w:p w:rsidR="00C075C6" w:rsidRPr="00C075C6" w:rsidRDefault="00C075C6" w:rsidP="00C075C6">
      <w:pPr>
        <w:spacing w:after="0" w:line="240" w:lineRule="auto"/>
        <w:ind w:left="5040"/>
        <w:jc w:val="both"/>
        <w:rPr>
          <w:u w:val="single"/>
        </w:rPr>
      </w:pPr>
      <w:r w:rsidRPr="00C075C6">
        <w:rPr>
          <w:u w:val="single"/>
        </w:rPr>
        <w:t xml:space="preserve">DIMAS KAMASWARA </w:t>
      </w:r>
      <w:proofErr w:type="spellStart"/>
      <w:r w:rsidRPr="00C075C6">
        <w:rPr>
          <w:u w:val="single"/>
        </w:rPr>
        <w:t>PERMANA</w:t>
      </w:r>
      <w:proofErr w:type="gramStart"/>
      <w:r w:rsidRPr="00C075C6">
        <w:rPr>
          <w:u w:val="single"/>
        </w:rPr>
        <w:t>,M.Si</w:t>
      </w:r>
      <w:proofErr w:type="spellEnd"/>
      <w:proofErr w:type="gramEnd"/>
    </w:p>
    <w:p w:rsidR="00C075C6" w:rsidRDefault="00C075C6" w:rsidP="00C075C6">
      <w:pPr>
        <w:spacing w:after="0" w:line="240" w:lineRule="auto"/>
        <w:ind w:left="4320" w:firstLine="720"/>
        <w:jc w:val="both"/>
      </w:pPr>
      <w:r>
        <w:t xml:space="preserve">       NIP. 19840105 200312 1 001</w:t>
      </w:r>
    </w:p>
    <w:sectPr w:rsidR="00C075C6" w:rsidSect="00E5161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91" w:rsidRDefault="008C3191" w:rsidP="00C075C6">
      <w:pPr>
        <w:spacing w:after="0" w:line="240" w:lineRule="auto"/>
      </w:pPr>
      <w:r>
        <w:separator/>
      </w:r>
    </w:p>
  </w:endnote>
  <w:endnote w:type="continuationSeparator" w:id="0">
    <w:p w:rsidR="008C3191" w:rsidRDefault="008C3191" w:rsidP="00C0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91" w:rsidRDefault="008C3191" w:rsidP="00C075C6">
      <w:pPr>
        <w:spacing w:after="0" w:line="240" w:lineRule="auto"/>
      </w:pPr>
      <w:r>
        <w:separator/>
      </w:r>
    </w:p>
  </w:footnote>
  <w:footnote w:type="continuationSeparator" w:id="0">
    <w:p w:rsidR="008C3191" w:rsidRDefault="008C3191" w:rsidP="00C0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A"/>
    <w:rsid w:val="00293D8A"/>
    <w:rsid w:val="004426EC"/>
    <w:rsid w:val="008401FC"/>
    <w:rsid w:val="008C3191"/>
    <w:rsid w:val="00C075C6"/>
    <w:rsid w:val="00E51618"/>
    <w:rsid w:val="00E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B559-3391-4C10-AFFA-4ADBBA17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8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.teluklerongili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el-teluk-lerong-ilir.samarindakota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2022-09-29T02:17:00Z</dcterms:created>
  <dcterms:modified xsi:type="dcterms:W3CDTF">2022-09-29T02:52:00Z</dcterms:modified>
</cp:coreProperties>
</file>